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Detailed Frameworks for Governing Infrastructure as Commons at the Bioregional Scale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Institutional Foundation: Reclaiming Infrastructure as Common-Pool Resources (CPRs)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governance of vital infrastructure—including energy, water, digital, and transport networks—is currently constrained by a traditional, binary approach that often fails to deliver universal access, equity, and long-term ecological sustainability. Modern infrastructure systems are characterized by institutional and technological fragmentation alongside the globalization of their networks, demanding fundamentally new governance models.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bridge the critical meso-scale gap between municipal action and planetary policy, an alternative framework is required, founded upon the principles of infrastructure as a Common-Pool Resource (CPR).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Failure of Market/State Dichotomies in Infrastructure Governance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Conventional governance often frames infrastructure solely through the lens of a "market" or "state" dichotomy: either fully state-administered public utilities or services delivered by privately owned, profit-driven entities.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binary model is demonstrably inadequate for managing complex, interdependent systems at the regional scale.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critique of the privatization model, frequently manifesting through Public-Private Partnerships (PPPs), is substantial. While PPPs aim to merge public oversight with private finance and expertise, they prioritize maximizing financial profit.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narrow focus invariably sidelines broader social goals, leading to systemic harms. Private control of infrastructure systematically disadvantages marginalized communities, exacerbating existing economic chasms.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the profit mandate often compromises labor standards, leading to dampened labor power, limitations on wages, and a failure to prioritize job quality or worker training.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necessitates a robust "third way" of regulation that incorporates localized initiatives and substantial civil society involvement, moving beyond the market/state binary.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CPR Paradigm: Applying Ostrom’s Design Principles to Infrastructure Systems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Elinor Ostrom's research demonstrates that common-pool resources, when governed by common property protocols—arrangements distinct from private ownership or state control—can be managed sustainably through local community self-management.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Shared infrastructures, such as regional water systems, aggregated digital networks, or shared distribution logistics, exhibit the characteristics of CPRs, where a multitude of users can lead to overuse and resource degradation if collective responsibility is not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Ostrom identified eight prerequisites for stable and long-enduring CPR institutions. These principles form the blueprint for designing effective Bioregional Commons governance: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Clearly Defined Boundaries:</w:t>
      </w:r>
      <w:r w:rsidDel="00000000" w:rsidR="00000000" w:rsidRPr="00000000">
        <w:rPr>
          <w:rFonts w:ascii="Google Sans Text" w:cs="Google Sans Text" w:eastAsia="Google Sans Text" w:hAnsi="Google Sans Text"/>
          <w:color w:val="1b1c1d"/>
          <w:rtl w:val="0"/>
        </w:rPr>
        <w:t xml:space="preserve"> The resource being managed must have unambiguous boundaries, ensuring all appropriators (users) understand who belongs to the community and what specific assets are under governance (e.g., a legally defined watershed area or a specific fiber-optic service territory).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Congruence:</w:t>
      </w:r>
      <w:r w:rsidDel="00000000" w:rsidR="00000000" w:rsidRPr="00000000">
        <w:rPr>
          <w:rFonts w:ascii="Google Sans Text" w:cs="Google Sans Text" w:eastAsia="Google Sans Text" w:hAnsi="Google Sans Text"/>
          <w:color w:val="1b1c1d"/>
          <w:rtl w:val="0"/>
        </w:rPr>
        <w:t xml:space="preserve"> The rules governing the appropriation (use) and provision (maintenance, investment) of the resource must align directly with local environmental and social conditions.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example, water rules must adapt to seasonal flows, and energy rules must reflect local renewable capacity.</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Collective-Choice Arrangements:</w:t>
      </w:r>
      <w:r w:rsidDel="00000000" w:rsidR="00000000" w:rsidRPr="00000000">
        <w:rPr>
          <w:rFonts w:ascii="Google Sans Text" w:cs="Google Sans Text" w:eastAsia="Google Sans Text" w:hAnsi="Google Sans Text"/>
          <w:color w:val="1b1c1d"/>
          <w:rtl w:val="0"/>
        </w:rPr>
        <w:t xml:space="preserve"> Most appropriators must be allowed to participate in the decision-making process, ensuring the rules reflect the needs of the community rather than just expert or centralized authority.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Effective Monitoring:</w:t>
      </w:r>
      <w:r w:rsidDel="00000000" w:rsidR="00000000" w:rsidRPr="00000000">
        <w:rPr>
          <w:rFonts w:ascii="Google Sans Text" w:cs="Google Sans Text" w:eastAsia="Google Sans Text" w:hAnsi="Google Sans Text"/>
          <w:color w:val="1b1c1d"/>
          <w:rtl w:val="0"/>
        </w:rPr>
        <w:t xml:space="preserve"> Accountability requires robust monitoring systems, where monitors are either part of the user community or directly accountable to them.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Graduated Sanctions:</w:t>
      </w:r>
      <w:r w:rsidDel="00000000" w:rsidR="00000000" w:rsidRPr="00000000">
        <w:rPr>
          <w:rFonts w:ascii="Google Sans Text" w:cs="Google Sans Text" w:eastAsia="Google Sans Text" w:hAnsi="Google Sans Text"/>
          <w:color w:val="1b1c1d"/>
          <w:rtl w:val="0"/>
        </w:rPr>
        <w:t xml:space="preserve"> Penalties for rule non-compliance must be graduated—starting small and increasing—to maintain community rules without relying on overly punitive external enforcement.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Conflict-Resolution Mechanisms:</w:t>
      </w:r>
      <w:r w:rsidDel="00000000" w:rsidR="00000000" w:rsidRPr="00000000">
        <w:rPr>
          <w:rFonts w:ascii="Google Sans Text" w:cs="Google Sans Text" w:eastAsia="Google Sans Text" w:hAnsi="Google Sans Text"/>
          <w:color w:val="1b1c1d"/>
          <w:rtl w:val="0"/>
        </w:rPr>
        <w:t xml:space="preserve"> Systems must be cheap and easily accessible for rapidly resolving disputes among appropriators, acknowledging that conflicts are inevitable in shared management.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Minimal Recognition of Rights:</w:t>
      </w:r>
      <w:r w:rsidDel="00000000" w:rsidR="00000000" w:rsidRPr="00000000">
        <w:rPr>
          <w:rFonts w:ascii="Google Sans Text" w:cs="Google Sans Text" w:eastAsia="Google Sans Text" w:hAnsi="Google Sans Text"/>
          <w:color w:val="1b1c1d"/>
          <w:rtl w:val="0"/>
        </w:rPr>
        <w:t xml:space="preserve"> The rights of the local resource system must be acknowledged by external governmental authorities.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Nested Enterprises:</w:t>
      </w:r>
      <w:r w:rsidDel="00000000" w:rsidR="00000000" w:rsidRPr="00000000">
        <w:rPr>
          <w:rFonts w:ascii="Google Sans Text" w:cs="Google Sans Text" w:eastAsia="Google Sans Text" w:hAnsi="Google Sans Text"/>
          <w:color w:val="1b1c1d"/>
          <w:rtl w:val="0"/>
        </w:rPr>
        <w:t xml:space="preserve"> For large systems (like bioregions), governance must be organized in multiple layers of nested institutions (discussed further below).</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extension of Ostrom’s original framework is necessitated by the technical complexity and dynamic nature of modern infrastructure. Beyond the classic institutional design principles, successful management of complex socio-technical CPRs requires two high-level operational capabilities: the constant provision of accurate and relevant information, particularly timely scientific knowledge for both managers and users; and the provision of infrastructure that is intrinsically flexible over time, allowing for continuous adaptation to changing conditions and resource links.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integrated management of modern systems like smart grids or regional digital networks relies heavily on these adaptive capabilities.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Polycentric Governance: Designing Nested Institutional Arrangements for Scale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Bioregional Commons framework inherently demands a polycentric approach to governance. A polycentric system is defined by multiple independent centers of decision making that interact through coordination, cooperation, competition, and conflict across various functional and jurisdictional domains.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design governance across the meso-scale, it is crucial to distinguish between </w:t>
      </w:r>
      <w:r w:rsidDel="00000000" w:rsidR="00000000" w:rsidRPr="00000000">
        <w:rPr>
          <w:rFonts w:ascii="Google Sans Text" w:cs="Google Sans Text" w:eastAsia="Google Sans Text" w:hAnsi="Google Sans Text"/>
          <w:i w:val="1"/>
          <w:color w:val="1b1c1d"/>
          <w:rtl w:val="0"/>
        </w:rPr>
        <w:t xml:space="preserve">scale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Scale</w:t>
      </w:r>
      <w:r w:rsidDel="00000000" w:rsidR="00000000" w:rsidRPr="00000000">
        <w:rPr>
          <w:rFonts w:ascii="Google Sans Text" w:cs="Google Sans Text" w:eastAsia="Google Sans Text" w:hAnsi="Google Sans Text"/>
          <w:color w:val="1b1c1d"/>
          <w:rtl w:val="0"/>
        </w:rPr>
        <w:t xml:space="preserve"> refers to the spatial, temporal, or quantitative dimensions used to measure a phenomenon (e.g., the size of a watershed). </w:t>
      </w:r>
      <w:r w:rsidDel="00000000" w:rsidR="00000000" w:rsidRPr="00000000">
        <w:rPr>
          <w:rFonts w:ascii="Google Sans Text" w:cs="Google Sans Text" w:eastAsia="Google Sans Text" w:hAnsi="Google Sans Text"/>
          <w:b w:val="1"/>
          <w:color w:val="1b1c1d"/>
          <w:rtl w:val="0"/>
        </w:rPr>
        <w:t xml:space="preserve">Level</w:t>
      </w:r>
      <w:r w:rsidDel="00000000" w:rsidR="00000000" w:rsidRPr="00000000">
        <w:rPr>
          <w:rFonts w:ascii="Google Sans Text" w:cs="Google Sans Text" w:eastAsia="Google Sans Text" w:hAnsi="Google Sans Text"/>
          <w:color w:val="1b1c1d"/>
          <w:rtl w:val="0"/>
        </w:rPr>
        <w:t xml:space="preserve"> refers to the units of analysis or jurisdictional position (e.g., municipal, state, federal).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Bioregional governance operates at the meso-scale (an ecologically defined scale) but must manage interactions among pre-existing jurisdictional levels, which are often not neatly nested. The system must establish a "general system of rules" that enables polycentric interaction and collaboration among these diverse jurisdictional units, which may decide to work together for common purposes rather than strictly through formal jurisdictional leadership.</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Establishing Bioregional Governance: The Meso-Scale Institutional Architecture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Bioregional Commons governance requires formal institutional architecture capable of integrating ecological mandates, democratic participation, and existing legal frameworks across traditional political boundaries.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Defining the Bioregional Boundary and Mandate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Unlike administrative boundaries, bioregions are defined by natural ecological limits, such as watersheds or ecoregions.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definition provides the optimal functional scale for managing interdependent resources like water, energy flows, and food systems. Bioregional organizations (such as Regenerate Hubs or Departments of Bioregion) promote this place-based philosophy as an alternative to models reliant on the nation-state and global supply chains.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Their mandate includes defining the ecological carrying capacity of the ecoregion, building regional identity, and researching technologies appropriate for local conditions.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objective is to shift to a more self-sufficient, sustainable economy where the population is directly dependent on domestic production, incentivizing environmental stewardship.</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Bioregional Council/Trust Model: Composition, Representation, and Authority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governing body at the meso-scale is the Bioregional Council or Trust. For this body to possess necessary legitimacy and functional capacity, it must incorporate a plurality of perspectives.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Pluralistic Representation and Non-Human Inclusion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legitimate Bioregional Council must include representatives from diverse demographic, ethnic, and institutional groups, including human inhabitants, local and regional nonprofits, academic organizations, and public agencies with existing jurisdictional authority.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Crucially, the Bioregional Council model moves beyond anthropocentric governance by embracing the bioregion itself—the watersheds, flora, fauna, and fungi—as a key partner and beneficiary.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requires establishing representatives, often ecological scientists or traditional stewards, to defend non-human interests within the decision-making structure.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Indigenous Sovereignty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Sustainable water and land management is highly dependent on power-sharing and the effective inclusion of Indigenous governance models. Indigenous Peoples assert sovereign rights to care for and manage lands and waters within traditional territories, a right enshrined in the United Nations Declaration on the Rights of Indigenous Peoples (UNDRIP, Article 26).</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As Indigenous Peoples gain power in water management, outcomes are expected to become increasingly sustainable, especially when land and water are managed integrally.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Council must formally incorporate this sovereignty, rather than merely treating Indigenous groups as advisory stakeholders.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Legitimacy Through State-Reinforced Self-Governance (SRSG)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authority of a Council defined by ecological boundaries (rather than traditional political sovereignty) is established through nested polycentric systems. The legitimacy of the Council flows from two critical sources. First, power is rooted in the local community, where citizens participate directly in decision-making based on shared values.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self-governance. Second, this local power must be formally reinforced by the surrounding state and federal "levels" through negotiated agreements.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establishment of a "general system of rules," such as a formal Memorandum of Agreement (MOA) among local governments and state/federal actors (as seen in the New York City Watershed arrangement), provides the necessary legal binding capacity for the non-sovereign entity to operate.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composition and authority structure for the Bioregional Council is detailed below, illustrating the synthesis of democratic and jurisdictional mandates necessary for the meso-scale: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Proposed Bioregional Council Composition and Authority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Stakeholder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Representation (Example Seats/Votes)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Mandate/Decision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of Legitimacy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Local/Municipal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Representatives from nested local jurisdictions (mayors, council members).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Allocating shared resources; approving inter-municipal agreements; coordinating legal compliance.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Existing jurisdictional mandate; Inter-Municipal Agreements (IMA).</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 &amp;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Representatives of resident groups, community organizations, and infrastructure users/customers.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Veto power on tariff changes; oversight of equity metrics (Universal Access); directing social goals.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 democratic participation; stakeholder representation model.</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Ecological Stewards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Representatives of Indigenous communities, environmental NGOs, and ecological scientists.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Veto power on projects violating ecological carrying capacity; integrating ecological requirements (IWRM).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Bioregional principles; recognized rights of nature/Indigenous sovereignty.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Workers/Labor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Representatives of unions and workers in the infrastructure sectors.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Setting labor standards, green job creation metrics, and just transition planning.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Labor movement partnership; social justice mandate.</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Legal Tools for Inter-Jurisdictional Cooperation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legal foundation for the Bioregional Commons rests heavily on formal cooperation between existing political entities. Inter-Municipal Agreements (IMAs) are the primary legal mechanism to facilitate this meso-scale collaboration.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IMAs allow participating municipalities to jointly or cooperatively perform activities, pool resources to achieve a mutual goal, or enter into a provider-recipient relationship where one participant delivers a service for others.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These agreements are essential for governing shared infrastructure systems that cross town or county lines. Legally robust IMAs must specify detailed terms and conditions, including defining the services provided, establishing shared personnel and departments, clarifying communication protocols, and detailing the sharing of financial burdens, encompassing salaries, operating expenses, and capital costs incurred prior to and after the agreement date.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pooled resource structure allows the Bioregional Council to coordinate resource allocation and enforce accountability across the functional bioregion.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Framework I: The Water and Ecological Commons (The Foundational Meso-Scale Model)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Water governance provides the most mature model for applying the commons and bioregional philosophy, utilizing the watershed as the optimal scale for resource management.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Integrated Water Resources Management (IWRM) as a Bioregional Operating Model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Integrated Water Resources Management (IWRM) approach, often termed 'One Water,' is the global standard for governing water resources within an ecological context.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IWRM promotes the coordinated management of water, land, and related resources to maximize social and economic welfare without compromising the sustainability of vital ecosystems.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approach recognizes that water is simultaneously an integral part of the ecosystem, a natural resource, and a social and economic good.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IWRM framework is essential because it addresses the inherent interdependencies of water use. For instance, pollution from agriculture reduces fresh water availability for drinking and industry, while mandated environmental flows necessary to protect ecosystems (like fisheries) reduce the volume available for crop irrigation.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By focusing on the watershed scale, IWRM serves as a common reference unit for coordinating diverse policies and actions that affect the system, transcending narrow sectoral or jurisdictional views.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Governance Structures for Watershed Commons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Successful governance of major river systems demonstrates the viability of polycentric, cross-jurisdictional collaboration. The Rhine River system, managed by the International Commission for the Protection of the Rhine (ICPR), showcases a model where multiple countries coordinate on complex objectives, including improving water quality, implementing flood mitigation (Action Plan on Floods), maintaining habitat connectivity (Rhine habitat patch connectivity), and establishing continual biological monitoring.</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They utilize shared mechanisms, such as the Warning and Alarm Plan, to alert downstream users quickly during serious pollution events.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York City Watershed arrangement provides a domestic example of a polycentric system created by a formal Memorandum of Agreement among dozens of local governments, environmental groups, and state/federal actors dedicated to safeguarding high-quality drinking water.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case highlights how a defined "general system of rules" (the MOA) can effectively enable sustained collaboration across multiple political entities.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Success in modern water governance relies fundamentally on shifting from reactionary crisis management to proactive, adaptive stewardship. Traditional approaches often rely on "reactionary decision making," implementing new regulations only in response to environmental crises such as pollution or major storm damage.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IWRM and Ostrom’s monitoring principles demand a continuous, forward-looking strategy, like the Rhine’s multi-year programs for ecosystem restoration and flood protection.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Achieving this proactive state requires sustained public education and the cultivation of public trust in the capacity of the watershed management groups, ensuring stability and long-term participation.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Data Sovereignty and the Watershed Data Trust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effective monitoring and adaptive management—fulfilling Ostrom’s requirement for accurate, timely information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—water governance must incorporate structures for managing data as a commons. Watershed Data Trusts are formal legal and governance structures that manage water-related data on behalf of a collective, such as a community or ecosystem.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trusts ensure responsible data collection, secure storage, and transparent utilization for informed decision-making within the watershed.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Crucially, they protect privacy and uphold community interests, formalizing the legal terms under which sensitive ecological or usage data is shared and analyzed.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Transition Strategy: Remunicipalisation of Water Systems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Achieving water as a human right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often necessitates reversing previous privatization. The remunicipalisation movement involves returning control of water services from private firms back to public (municipal or regional) administration, as seen in cases like Berlin, Paris, and Barcelona.</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Rationales for remunicipalisation span a broad political spectrum, including pragmatic motives like seeking cost savings, social-democratic goals of equitable distribution, and anti-capitalist efforts seeking non-commodified resource delivery.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transition is institutionally complex, requiring careful navigation of legal obstacles. These challenges typically revolve around the transfer of workers' rights, entitlements (such as pensions and seniority), and differing collective agreements between the private and public sectors.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Post-transition, the organizational structure of the publicly owned utility must be determined. Utilities organized under public (administrative) law often experience direct political influence and low managerial autonomy, while those organized under private law structures, though still municipally owned, may resemble private-sector firms but offer greater managerial flexibility.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Framework II: The Decentralized Energy Commons (Resilience and Equity)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to a decentralized, renewable energy system requires institutional reforms that align utility incentives with ecological and social goals, fostering local ownership and enhancing resilience.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Decoupling Regulatory Policy: Aligning Incentives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Traditional utility regulation creates an inherent conflict: utility profits are derived from retail sales volume, creating a "throughput incentive" that financially disincentivizes the utility from supporting energy conservation, efficiency programs, and customer-side distributed generation (DG).</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Decoupling</w:t>
      </w:r>
      <w:r w:rsidDel="00000000" w:rsidR="00000000" w:rsidRPr="00000000">
        <w:rPr>
          <w:rFonts w:ascii="Google Sans Text" w:cs="Google Sans Text" w:eastAsia="Google Sans Text" w:hAnsi="Google Sans Text"/>
          <w:color w:val="1b1c1d"/>
          <w:rtl w:val="0"/>
        </w:rPr>
        <w:t xml:space="preserve"> mechanisms are the regulatory solution to this conflict. Decoupling ensures that the utility can collect its approved revenue requirement regardless of annual sales volume deviation.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mechanism removes the financial harm associated with conservation, allowing the utility to embrace efficiency programs and DG without penalty, thereby aligning financial incentives with public policy goals, such as reduced emissions and the clean energy transition.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Decoupling is implemented in many regulated and deregulated states, often on a revenue-per-customer basis.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However, mechanisms must be implemented carefully; consistent bill surcharges or the public perception that decoupling is an "earnings guarantee" can undermine its legitimacy and foster public opposition.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Community Ownership Models: Cooperatives and Aggregation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Community ownership models are central to establishing the Energy Commons, ensuring local control and capital sourcing.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German energy co-operatives (</w:t>
      </w:r>
      <w:r w:rsidDel="00000000" w:rsidR="00000000" w:rsidRPr="00000000">
        <w:rPr>
          <w:rFonts w:ascii="Google Sans Text" w:cs="Google Sans Text" w:eastAsia="Google Sans Text" w:hAnsi="Google Sans Text"/>
          <w:i w:val="1"/>
          <w:color w:val="1b1c1d"/>
          <w:rtl w:val="0"/>
        </w:rPr>
        <w:t xml:space="preserve">Energiegenossenschaften</w:t>
      </w:r>
      <w:r w:rsidDel="00000000" w:rsidR="00000000" w:rsidRPr="00000000">
        <w:rPr>
          <w:rFonts w:ascii="Google Sans Text" w:cs="Google Sans Text" w:eastAsia="Google Sans Text" w:hAnsi="Google Sans Text"/>
          <w:color w:val="1b1c1d"/>
          <w:rtl w:val="0"/>
        </w:rPr>
        <w:t xml:space="preserve">) exemplify a successful, regionally oriented model for decentralized renewable electricity generation, collecting capital from individuals and fostering high local acceptance.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While early success relied on favorable funding, sustained viability now requires adaptation, including the diversification of business fields (to include energy services and local general interest services) and cooperation at the regional level to achieve economies of scale and geographical diversification.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Alternatively, </w:t>
      </w:r>
      <w:r w:rsidDel="00000000" w:rsidR="00000000" w:rsidRPr="00000000">
        <w:rPr>
          <w:rFonts w:ascii="Google Sans Text" w:cs="Google Sans Text" w:eastAsia="Google Sans Text" w:hAnsi="Google Sans Text"/>
          <w:b w:val="1"/>
          <w:color w:val="1b1c1d"/>
          <w:rtl w:val="0"/>
        </w:rPr>
        <w:t xml:space="preserve">Community Choice Aggregation (CCA)</w:t>
      </w:r>
      <w:r w:rsidDel="00000000" w:rsidR="00000000" w:rsidRPr="00000000">
        <w:rPr>
          <w:rFonts w:ascii="Google Sans Text" w:cs="Google Sans Text" w:eastAsia="Google Sans Text" w:hAnsi="Google Sans Text"/>
          <w:color w:val="1b1c1d"/>
          <w:rtl w:val="0"/>
        </w:rPr>
        <w:t xml:space="preserve"> allows local governments to aggregate the demand of their residents and procure electricity on their behalf.</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CCAs empower local entities to rapidly shift to greener power resources, enabling local control over electricity generation aligned with regional economic and environmental goals, and expanding consumer choices.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However, CCAs face challenges, including dependence on enabling state legislation, administrative costs, and potential push-back from incumbent utilities.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Furthermore, CCAs require significant long-term procurement contracts, and financial constraints (such as credit difficulties resulting from market volatility) can hinder their ability to establish the favorable credit ratings necessary to secure capital at reasonable rates.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Infrastructure Resilience: Governing Community Microgrids and Islanding Capability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Resilience is a primary goal of the Energy Commons. Microgrids are defined by their ability to operate in grid-connected mode or autonomously in "island mode," disconnecting from the main grid during outages.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capability allows facilities connected to the microgrid to continue serving critical loads (e.g., hospitals, emergency services).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Governing microgrids as a commons ensures that their significant resilience benefits extend tangibly to the local population.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Community-owned microgrids empower local populations by fostering energy security, reducing greenhouse gas emissions through prioritized renewable energy integration, and creating local economic opportunities through the building and maintenance of these systems.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Governance must involve managing the complex control systems that coordinate Distributed Energy Resources (DERs), balance electrical loads, and oversee the controlled disconnection and reconnection processes.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Implementing Energy Democracy: Social Justice and Labor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governance of the energy system must be rooted in principles of energy democracy, ensuring a socially just transition. This demands universal access, fair prices, and the prioritization of social and environmental goals over pure profit motives.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ethical imperative exists to prioritize the needs of marginalized groups, including low-income families and indigenous communities, who are disproportionately affected by energy poverty and the proximity of fossil fuel production sites.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successful transition must explicitly include a "just transition" framework, involving unions and workers to ensure the creation of secure, unionized, and well-paid jobs in the renewable energy sector.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Democratic control mechanisms, such as involving both users and employees on the boards of municipal energy companies, are critical preconditions for absolute transparency and accountability.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Framework III: The Digital and Data Commons (Connectivity and Knowledge)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Digital infrastructure is fundamental to modern society, serving as the "infrastructure of life".</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Governing it as a commons requires treating connectivity as a necessity and establishing institutional frameworks for data sovereignty.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Digital Infrastructure as a Public Utility and Ethical Imperative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pervasive integration of the internet into all aspects of civic and economic life transforms broadband access from a luxury service into an ethical necessity.</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Millions of citizens lack the resources to fully participate in the digital age, lagging behind European counterparts in terms of access and pricing.</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Therefore, treating broadband as a utility is considered the most effective policy path to remedy existing access inequalities.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designation must be carefully balanced with the technical realities of digital service provision. Opponents argue that regulating broadband as a homogenized commodity risks invoking the "flaw of averages," resulting in an "averaged" service plan that fails to meet the highly variable, specialized demands of diverse consumers.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 critical reconciliation is required: the utility classification must ensure universal access (the ethical requirement) while the institutional design of the Digital Commons must incorporate Ostrom’s principle of congruence.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means the governance structures must allow for the customization of appropriation and provision rules to match local user demands and technical conditions, preventing the imposition of a one-size-fits-all plan.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Governance Models for Public Broadband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Municipal fiber networks offer a robust governance model for the Digital Commons, providing an alternative to private, profit-driven service. The Chattanooga EPB fiber network demonstrates substantial realized economic value, generating billions in economic benefits over a decade through job creation, productivity gains, and increased access to telehealth services.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Publicly owned networks are uniquely positioned to address unmet public interest needs, such as providing no- or low-cost services to schools and low-income households—entities often ignored by private ISPs due to hard profitability constraints.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Successful deployment requires mandatory preliminary steps, including rigorous feasibility studies covering engineering, market research, cost estimation, and penetration projections.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Municipalities may also mitigate initial financial risk by phasing deployment, perhaps by first building a core fiber backbone that connects key public facilities before developing a full Fiber-to-the-Home (FTTH) network.</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Data Governance as a Commons: Implementing Data Trusts and Platform Cooperatives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immense volume of data generated by digital infrastructure must be governed as a common resource to protect citizen interests and ensure its value is harnessed for collective benefit.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Data Trusts</w:t>
      </w:r>
      <w:r w:rsidDel="00000000" w:rsidR="00000000" w:rsidRPr="00000000">
        <w:rPr>
          <w:rFonts w:ascii="Google Sans Text" w:cs="Google Sans Text" w:eastAsia="Google Sans Text" w:hAnsi="Google Sans Text"/>
          <w:color w:val="1b1c1d"/>
          <w:rtl w:val="0"/>
        </w:rPr>
        <w:t xml:space="preserve"> are critical legal and institutional structures for managing citizen data. Projects like the Barcelona DECODE initiative enable citizens to share granular personal data—data that could negatively impact housing prices or insurance premiums if accessed by private entities—for use in city planning and policymaking.</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primary value of this governance structure lies in the debate it surfaces around data sovereignty and the terms of data sharing, allowing citizens to control the data they generate and ensuring transparency in its exploitation.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labor component of the digital economy requires a commons approach. </w:t>
      </w:r>
      <w:r w:rsidDel="00000000" w:rsidR="00000000" w:rsidRPr="00000000">
        <w:rPr>
          <w:rFonts w:ascii="Google Sans Text" w:cs="Google Sans Text" w:eastAsia="Google Sans Text" w:hAnsi="Google Sans Text"/>
          <w:b w:val="1"/>
          <w:color w:val="1b1c1d"/>
          <w:rtl w:val="0"/>
        </w:rPr>
        <w:t xml:space="preserve">Platform Cooperativism</w:t>
      </w:r>
      <w:r w:rsidDel="00000000" w:rsidR="00000000" w:rsidRPr="00000000">
        <w:rPr>
          <w:rFonts w:ascii="Google Sans Text" w:cs="Google Sans Text" w:eastAsia="Google Sans Text" w:hAnsi="Google Sans Text"/>
          <w:color w:val="1b1c1d"/>
          <w:rtl w:val="0"/>
        </w:rPr>
        <w:t xml:space="preserve"> is an intellectual and institutional framework advocating for cooperatively owned, democratically governed businesses (platforms).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Owned by workers, users, and other stakeholders, platform co-ops provide an alternative to extractive venture capital models, ensuring ethical commitments, fair working conditions, and promoting ecological and social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Legislative Mechanisms for Universal Access and Digital Equity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Formal legislation is essential to mandate equitable access. The U.S. Infrastructure Investment and Jobs Act (IIJA) explicitly requires action to prevent and eliminate </w:t>
      </w:r>
      <w:r w:rsidDel="00000000" w:rsidR="00000000" w:rsidRPr="00000000">
        <w:rPr>
          <w:rFonts w:ascii="Google Sans Text" w:cs="Google Sans Text" w:eastAsia="Google Sans Text" w:hAnsi="Google Sans Text"/>
          <w:b w:val="1"/>
          <w:color w:val="1b1c1d"/>
          <w:rtl w:val="0"/>
        </w:rPr>
        <w:t xml:space="preserve">digital discrimination</w:t>
      </w:r>
      <w:r w:rsidDel="00000000" w:rsidR="00000000" w:rsidRPr="00000000">
        <w:rPr>
          <w:rFonts w:ascii="Google Sans Text" w:cs="Google Sans Text" w:eastAsia="Google Sans Text" w:hAnsi="Google Sans Text"/>
          <w:color w:val="1b1c1d"/>
          <w:rtl w:val="0"/>
        </w:rPr>
        <w:t xml:space="preserve"> of access.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supports the long-standing universal service principles established by Congress, which aim to increase access for consumers in rural areas and for low-income consumers, ensuring that broadband is deployed to all Americans in a reasonable and timely fashion.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Framework IV: The Regional Logistics and Supply Chain Commons (Transport and Food Systems)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Infrastructure governance must extend beyond utilities to include the regional logistics systems necessary for bioregional self-sufficiency and resilience, particularly relating to food supply.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Defining Regional Logistics Infrastructure as a Commons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achieve a bioregional economy less reliant on fragile global supply chains, local communities require a well-functioning food system infrastructure, including processing facilities, distribution networks, and support services for local agri-food entrepreneurs.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Failure to address this need represents a major missed opportunity for economic development, job growth, and public health.</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Federal support programs, such as the Resilient Food Systems Infrastructure (RFSI), acknowledge this gap, focusing funds on building resilience in the "middle of the food supply chain" through support for equipment, value-added products, and coordination services for local and regional producers.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Governing these distribution and processing assets as a commons ensures that they operate to maximize local benefit and sustainability rather than being solely profit-driven.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Food Hubs: Cooperative Models for Aggregation and Value-Chain Facilitation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Food hubs are organizations or businesses that actively manage the aggregation, distribution, and marketing of source-identified food products, primarily from local and regional producers.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They serve a vital function as sales channels for small to medium-scale farmers, providing transportation efficiency and crucial access to larger wholesale customers, such as institutions (schools, hospitals).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Food hubs utilize cooperative and values-based approaches to distribution, acting as "value-chain facilitators" to ensure that benefits are equitably shared among all participants, including farmers, farmworkers, distributors, and consumers. Their typical governance structures ensure that operational decisions support the long-term health of the regional food system.</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Governing Land for the Commons: Agricultural Community Land Trusts (CLTs)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land resources underpinning the logistics commons must be held under collective stewardship. Community Land Trusts (CLTs) are institutional models designed for locally controlled land use. Although often associated with affordable housing, the historical foundation of the CLT movement lies in protecting farmland (e.g., New Communities Inc.).</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CLTs manage land-based resources by separating the ownership of the land from the ownership of any property improvements, thereby maintaining affordability and ecological standards in perpetuity.</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Modern CLTs are expanding into urban agriculture and commercial development.</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Their governance structure requires representation not only from CLT homeowners but also from members who live in the service area but do not own CLT property, ensuring the institution responds to broad community needs.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Integrating Transport Networks into Bioregional Planning</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Bioregional governance frameworks must integrate large-scale transport infrastructure—including roads, bridges, and energy transmission lines—into ecologically just planning.</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Investment in fixed installations necessary for political subdivision function, such as storm water infrastructure, roads, and airport infrastructure </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must be coordinated by the Bioregional Council. The Council must ensure that these developments adhere to ecologically just practices and meet broader requirements for climate adaptation and ecosystem protection, avoiding the degradation caused by extractive industries.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Financial and Implementation Architecture for the Commons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Transitioning infrastructure to a commons model requires a fundamental shift in financing mechanisms, moving away from short-term, profit-driven capital toward patient capital and solidarity finance structures.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Patient Capital and Solidarity Finance Mechanisms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Infrastructure governed as a commons requires </w:t>
      </w:r>
      <w:r w:rsidDel="00000000" w:rsidR="00000000" w:rsidRPr="00000000">
        <w:rPr>
          <w:rFonts w:ascii="Google Sans Text" w:cs="Google Sans Text" w:eastAsia="Google Sans Text" w:hAnsi="Google Sans Text"/>
          <w:b w:val="1"/>
          <w:color w:val="1b1c1d"/>
          <w:rtl w:val="0"/>
        </w:rPr>
        <w:t xml:space="preserve">patient capital</w:t>
      </w:r>
      <w:r w:rsidDel="00000000" w:rsidR="00000000" w:rsidRPr="00000000">
        <w:rPr>
          <w:rFonts w:ascii="Google Sans Text" w:cs="Google Sans Text" w:eastAsia="Google Sans Text" w:hAnsi="Google Sans Text"/>
          <w:color w:val="1b1c1d"/>
          <w:rtl w:val="0"/>
        </w:rPr>
        <w:t xml:space="preserve">—stable, long-term investment focused on achieving social and environmental returns, rather than maximizing short-term financial profit.</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Traditional private equity funds operate on a drawdown model, calling for capital over a short period and aiming for high returns on invested capital, often experiencing a J-curve effect (low initial performance).</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By contrast, </w:t>
      </w:r>
      <w:r w:rsidDel="00000000" w:rsidR="00000000" w:rsidRPr="00000000">
        <w:rPr>
          <w:rFonts w:ascii="Google Sans Text" w:cs="Google Sans Text" w:eastAsia="Google Sans Text" w:hAnsi="Google Sans Text"/>
          <w:b w:val="1"/>
          <w:color w:val="1b1c1d"/>
          <w:rtl w:val="0"/>
        </w:rPr>
        <w:t xml:space="preserve">Evergreen</w:t>
      </w:r>
      <w:r w:rsidDel="00000000" w:rsidR="00000000" w:rsidRPr="00000000">
        <w:rPr>
          <w:rFonts w:ascii="Google Sans Text" w:cs="Google Sans Text" w:eastAsia="Google Sans Text" w:hAnsi="Google Sans Text"/>
          <w:color w:val="1b1c1d"/>
          <w:rtl w:val="0"/>
        </w:rPr>
        <w:t xml:space="preserve"> (open-end) funds offer continuous capital inflows and remain perpetually open, mitigating the J-curve and providing immediate exposure to diverse, long-term investments. This evergreen structure is inherently aligned with the perpetual stewardship mandate of infrastructure commons.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Solidarity finance</w:t>
      </w:r>
      <w:r w:rsidDel="00000000" w:rsidR="00000000" w:rsidRPr="00000000">
        <w:rPr>
          <w:rFonts w:ascii="Google Sans Text" w:cs="Google Sans Text" w:eastAsia="Google Sans Text" w:hAnsi="Google Sans Text"/>
          <w:color w:val="1b1c1d"/>
          <w:rtl w:val="0"/>
        </w:rPr>
        <w:t xml:space="preserve">, encompassing cooperative financial institutions (like credit unions and cooperative banks) and community-based funds, has a long history of serving community needs and providing capital to collective enterprises.</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These models provide "embedded finance," prioritizing community benefit and stability over high-risk financial speculation.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Public Banking Models for Infrastructure Investment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Public banking offers a critical financial mechanism that insulates infrastructure development from private market volatility and aligns capital deployment directly with socio-economic and bioregional mandates. Public banks pursue economical, structural, and socio-economic goals.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Bank of North Dakota (BND) provides a concrete model. The BND operates numerous low-interest loan funds (including the Infrastructure Revolving Loan Fund and the Legacy Infrastructure Loan Fund) designed to finance capital construction projects for political subdivisions.</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These funds cover a vast range of critical infrastructure, including water treatment plants, sewerlines, road infrastructure, electricity transmission, and communications networks.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providing the primary source of patient capital for regional infrastructure, public banks become powerful mechanisms for enforcing CPR principles. They can embed specific compliance metrics—such as adherence to IWRM standards, mandatory equity provisions (universal access), or green job creation goals—directly into loan agreements. If a local jurisdiction fails to meet its commons governance responsibilities, the public bank can leverage financial pressure to enforce adaptive policy changes, acting as an effective, mission-aligned external monitor and sanctioning agent.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Community Bonds and Impact Investing</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Community bonds provide a direct path for collective financing, allowing organizations to raise short-term liquidity by selling low-interest bonds directly to community activists and members who are committed to the project’s long-term social viability.</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Social Impact Bonds (SIBs), which involve private investors funding upfront costs with the government paying a return if predetermined outcomes are met </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require cautious application in the commons framework. While SIBs can fund socially determined health (SDH) interventions and incorporate racial and health equity impact measures </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they carry significant risks identified in health literature: they can increase costs to governments, restrict program scope, fragment policymaking, and risk undermining public sector services by applying quantitative, market-oriented metrics.</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If used, SIB design must incorporate community participatory approaches to ensure they prioritize large health equity impacts over simple financial returns.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comparison of key financial models highlights the structural differences required for commons stewardship:</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Comparative Financial Models for Infrastructure Transition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Funding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Risk Profile/Ownership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Alignment with Commons Goals (Equity/Resilience)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Structural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Private/PPP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Private equity, institutional debt.</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profit drive, external control, cost-skimping.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focus is maximizing financial returns over perpetual stewardship.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Extractive, Finite Return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State/Municipal (Traditional)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tax revenue, municipal bonds.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Centralized control, efficiency challenges, susceptible to political 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Moderate; requires strong policy mandates (remunicipalisation).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Centralized Service Provision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Solidarity Finance/Co-op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Patient capital, community bonds, member equity.</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Distributed risk, focus on long-term systemic stability and social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governance tied directly to user/community interest and non-profit mandate.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Perpetual Stewardship, Local 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Public Banking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State/Legacy Funds, recycled loan capital.</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Low-interest, patient finance; insulates funding from private market 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enables funding for critical projects with low private returns (e.g., resilience, universal access).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Counter-Cyclical, Mission-Driven Finance</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Policy Recommendations for Enabling Bioregional Commons (Regulatory and Legal Reform)</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establishment of the Bioregional Commons requires targeted regulatory and legal reforms at the state level:</w:t>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Mandate Inter-Municipal Cooperation:</w:t>
      </w:r>
      <w:r w:rsidDel="00000000" w:rsidR="00000000" w:rsidRPr="00000000">
        <w:rPr>
          <w:rFonts w:ascii="Google Sans Text" w:cs="Google Sans Text" w:eastAsia="Google Sans Text" w:hAnsi="Google Sans Text"/>
          <w:color w:val="1b1c1d"/>
          <w:rtl w:val="0"/>
        </w:rPr>
        <w:t xml:space="preserve"> State legislation must incentivize and provide clear legal structures (Article 5-G or similar) for political subdivisions to enter into Inter-Municipal Agreements (IMAs) for resource pooling and joint infrastructure operation across bioregional boundaries.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Revenue Decoupling:</w:t>
      </w:r>
      <w:r w:rsidDel="00000000" w:rsidR="00000000" w:rsidRPr="00000000">
        <w:rPr>
          <w:rFonts w:ascii="Google Sans Text" w:cs="Google Sans Text" w:eastAsia="Google Sans Text" w:hAnsi="Google Sans Text"/>
          <w:color w:val="1b1c1d"/>
          <w:rtl w:val="0"/>
        </w:rPr>
        <w:t xml:space="preserve"> Utility regulators should be mandated to adopt full revenue-per-customer decoupling policies to eliminate the throughput incentive, aligning utility financial stability with public goals for energy conservation and distributed generation investment.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Formalize Data Trust Governance:</w:t>
      </w:r>
      <w:r w:rsidDel="00000000" w:rsidR="00000000" w:rsidRPr="00000000">
        <w:rPr>
          <w:rFonts w:ascii="Google Sans Text" w:cs="Google Sans Text" w:eastAsia="Google Sans Text" w:hAnsi="Google Sans Text"/>
          <w:color w:val="1b1c1d"/>
          <w:rtl w:val="0"/>
        </w:rPr>
        <w:t xml:space="preserve"> Legal frameworks must be established for the creation and operation of Watershed and Digital Data Trusts, defining citizen data sovereignty rights and organizational maturity requirements necessary for managing complex, granular data as a common resource.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Expand Public Finance Capacity:</w:t>
      </w:r>
      <w:r w:rsidDel="00000000" w:rsidR="00000000" w:rsidRPr="00000000">
        <w:rPr>
          <w:rFonts w:ascii="Google Sans Text" w:cs="Google Sans Text" w:eastAsia="Google Sans Text" w:hAnsi="Google Sans Text"/>
          <w:color w:val="1b1c1d"/>
          <w:rtl w:val="0"/>
        </w:rPr>
        <w:t xml:space="preserve"> State governments must invest in or establish public banking institutions capable of providing long-term, low-interest patient capital specifically dedicated to financing resilient, community-owned infrastructure projects that align with the Bioregional Council's mandates.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Synthesis and Conclusion: A Blueprint for Polycentric Resilience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Bioregional Commons framework successfully addresses the meso-scale governance gap by replacing fragmented, profit-driven infrastructure provision with integrated, ecologically congruent stewardship. The polycentric structure, anchored by the Bioregional Council and reinforced by legal mechanisms like IMAs and public finance, provides the institutional resilience necessary for long-term sustainability.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Cross-Sectoral Integration: The Bioregional Ecosystem</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four frameworks are interdependent and must be governed cohesively:</w:t>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Energy-Water Nexus:</w:t>
      </w:r>
      <w:r w:rsidDel="00000000" w:rsidR="00000000" w:rsidRPr="00000000">
        <w:rPr>
          <w:rFonts w:ascii="Google Sans Text" w:cs="Google Sans Text" w:eastAsia="Google Sans Text" w:hAnsi="Google Sans Text"/>
          <w:color w:val="1b1c1d"/>
          <w:rtl w:val="0"/>
        </w:rPr>
        <w:t xml:space="preserve"> IWRM (Water) mandates coordination with microgrid development (Energy) to ensure that energy planning (e.g., cooling demands, environmental flows for hydropower) does not compromise ecosystem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Digital-Governance Nexus:</w:t>
      </w:r>
      <w:r w:rsidDel="00000000" w:rsidR="00000000" w:rsidRPr="00000000">
        <w:rPr>
          <w:rFonts w:ascii="Google Sans Text" w:cs="Google Sans Text" w:eastAsia="Google Sans Text" w:hAnsi="Google Sans Text"/>
          <w:color w:val="1b1c1d"/>
          <w:rtl w:val="0"/>
        </w:rPr>
        <w:t xml:space="preserve"> The Digital Commons, particularly through municipal fiber networks and Data Trusts, provides the real-time monitoring and secure information architecture required for adaptive management in both the Water and Energy sectors, fulfilling Ostrom’s crucial need for timely, accurate knowledge.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Logistics and Land Use:</w:t>
      </w:r>
      <w:r w:rsidDel="00000000" w:rsidR="00000000" w:rsidRPr="00000000">
        <w:rPr>
          <w:rFonts w:ascii="Google Sans Text" w:cs="Google Sans Text" w:eastAsia="Google Sans Text" w:hAnsi="Google Sans Text"/>
          <w:color w:val="1b1c1d"/>
          <w:rtl w:val="0"/>
        </w:rPr>
        <w:t xml:space="preserve"> Integrating Food Hubs and Agricultural CLTs ensures that regional logistics and food production support localized economic self-sufficiency, aligning transport and land-use decisions with the ecological carrying capacity defined by the Bioregional Council.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Validation Against Ostrom’s CPR Principles at the Bioregional Scale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integrated governance model confirms its institutional viability by satisfying Ostrom's design principles:</w:t>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Boundaries &amp; Congruence:</w:t>
      </w:r>
      <w:r w:rsidDel="00000000" w:rsidR="00000000" w:rsidRPr="00000000">
        <w:rPr>
          <w:rFonts w:ascii="Google Sans Text" w:cs="Google Sans Text" w:eastAsia="Google Sans Text" w:hAnsi="Google Sans Text"/>
          <w:color w:val="1b1c1d"/>
          <w:rtl w:val="0"/>
        </w:rPr>
        <w:t xml:space="preserve"> Defined by ecological watersheds (Water) and service areas (Energy/Digital), with rules adapted via Decoupling and IWRM (Congruence).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Collective Choice &amp; Monitoring:</w:t>
      </w:r>
      <w:r w:rsidDel="00000000" w:rsidR="00000000" w:rsidRPr="00000000">
        <w:rPr>
          <w:rFonts w:ascii="Google Sans Text" w:cs="Google Sans Text" w:eastAsia="Google Sans Text" w:hAnsi="Google Sans Text"/>
          <w:color w:val="1b1c1d"/>
          <w:rtl w:val="0"/>
        </w:rPr>
        <w:t xml:space="preserve"> Ensured through the Bioregional Council’s pluralistic representation (users, workers, ecologists) and Watershed/Digital Data Trusts (Monitoring).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Sanctions &amp; Conflict Resolution:</w:t>
      </w:r>
      <w:r w:rsidDel="00000000" w:rsidR="00000000" w:rsidRPr="00000000">
        <w:rPr>
          <w:rFonts w:ascii="Google Sans Text" w:cs="Google Sans Text" w:eastAsia="Google Sans Text" w:hAnsi="Google Sans Text"/>
          <w:color w:val="1b1c1d"/>
          <w:rtl w:val="0"/>
        </w:rPr>
        <w:t xml:space="preserve"> Provided by graduated rules set by the Council and enforced through mechanisms like public banking loan terms, combined with accessible IMAs and governance protocols (Conflict Resolution).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Nested Enterprises:</w:t>
      </w:r>
      <w:r w:rsidDel="00000000" w:rsidR="00000000" w:rsidRPr="00000000">
        <w:rPr>
          <w:rFonts w:ascii="Google Sans Text" w:cs="Google Sans Text" w:eastAsia="Google Sans Text" w:hAnsi="Google Sans Text"/>
          <w:color w:val="1b1c1d"/>
          <w:rtl w:val="0"/>
        </w:rPr>
        <w:t xml:space="preserve"> Achieved by formally linking local jurisdictions via Inter-Municipal Agreements and State-Reinforced Self-Governance (SRSG) structures to the overarching Bioregional Council.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Conclusion: Bridging the Scale Gap</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the CPR paradigm and polycentric governance theory at the bioregional scale constructs a durable institutional architecture. This structure empowers local democratic participation and aligns economic activity with ecological realities, addressing systemic challenges that transcend arbitrary political boundaries. By formalizing infrastructure ownership as a perpetual commons, facilitated by patient public finance and integrated sectoral management, the framework shifts infrastructure governance from a system dominated by profit extraction and administrative fragmentation to one focused on long-term resilience, equity, and holistic ecological stewardship.</w:t>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Governance of Infrastructures as Common Pool Resources - ResearchGate,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https://www.researchgate.net/publication/42762441_The_Governance_of_Infrastructures_as_Common_Pool_Resources</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Prize Lecture by Elinor Ostrom,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https://www.nobelprize.org/uploads/2018/06/ostrom_lecture.pdf</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public-private partnerships in construction: A damages perspective - HKA,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https://www.hka.com/article/comparing-public-private-partnerships-in-construction-a-damages-perspective/</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Harms of Infrastructure Privatization: A Step Backward in Progressive Policymaking,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https://rooseveltinstitute.org/blog/the-harms-of-infrastructure-privatization-a-step-backward-in-progressive-policymaking/</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OF ENERGY DEMOCRACY,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https://energy-democracy.net/principals/index.html</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Common-pool resource - Wikipedia,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https://en.wikipedia.org/wiki/Common-pool_resource</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Polycentricity and state reinforced self-governance: the case of the New York City watersheds governing arrangement - Ecology &amp; Society,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https://ecologyandsociety.org/vol30/iss3/art3/</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Polycentricity and Governance∗ - Michael D. McGinnis Webpage,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https://mcginnis.pages.iu.edu/Stephan%20Marshall%20McGinnis%20Intro%20to%20Polyc%20Gov.pdf</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Decentralized Bioregional Councils → Area - Prism → Sustainability Directory,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https://prism.sustainability-directory.com/area/decentralized-bioregional-councils/</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Watershed Management Resource Management Strategy,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https://water.ca.gov/-/media/DWR-Website/Web-Pages/Programs/California-Water-Plan/Docs/Update2023/PRD/RMS/Draft-Watershed-Management-RMS.pdf</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Chapters and Groups — Cascadia Department of Bioregion,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https://cascadiabioregion.org/groups</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Bioregionalism: A Model for a Self-Sufficient and Democratic Economy | Earth.Org,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https://earth.org/bioregionalism/</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Bioregionalism: Coming home to place, connection, and mutuality - Lawrence Grodeska,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https://grodeska.com/ideas/bioregionalism-coming-home-to-place-connection-and-mutuality/</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https://journals.plos.org/water/article/file?id=10.1371/journal.pwat.0000144&amp;type=printable#:~:text=Indigenous%20Peoples%20continue%20to%20assert,traditional%20territories%20(art%2026).</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sovereignty for Indigenous Peoples: Pathways to pluralist, legitimate and sustainable water laws in settler colonial state - Research journals,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https://journals.plos.org/water/article/file?id=10.1371/journal.pwat.0000144&amp;type=printable</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Principles of Bioregionalism,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https://cascadiabioregion.org/bioregionalism-core-principles</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Inter-Municipal Agreements: A Best Practice - Mass.gov,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https://www.mass.gov/doc/best-practices-of-inter-municipal-agreements-mcwt/download</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Intermunicipal Cooperation and Consolidation - New York State Department of State,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https://dos.ny.gov/intermunicipal-cooperation-and-consolidation-exploring-opportunities-savings-and-improved-service</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 Resilient Watersheds Toolbox,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https://resilientwatershedstoolbox.org/special-topics/governance</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Sovereignty and Land Sovereignty - Climate Justice Alliance, accessed on October 11, 2025, </w:t>
      </w:r>
      <w:hyperlink r:id="rId25">
        <w:r w:rsidDel="00000000" w:rsidR="00000000" w:rsidRPr="00000000">
          <w:rPr>
            <w:rFonts w:ascii="Google Sans" w:cs="Google Sans" w:eastAsia="Google Sans" w:hAnsi="Google Sans"/>
            <w:color w:val="0000ee"/>
            <w:sz w:val="24"/>
            <w:szCs w:val="24"/>
            <w:u w:val="single"/>
            <w:rtl w:val="0"/>
          </w:rPr>
          <w:t xml:space="preserve">https://climatejusticealliance.org/food-sovereignty-and-land-sovereignty/</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Rhine - International Waters Governance, accessed on October 11, 2025, </w:t>
      </w:r>
      <w:hyperlink r:id="rId26">
        <w:r w:rsidDel="00000000" w:rsidR="00000000" w:rsidRPr="00000000">
          <w:rPr>
            <w:rFonts w:ascii="Google Sans" w:cs="Google Sans" w:eastAsia="Google Sans" w:hAnsi="Google Sans"/>
            <w:color w:val="0000ee"/>
            <w:sz w:val="24"/>
            <w:szCs w:val="24"/>
            <w:u w:val="single"/>
            <w:rtl w:val="0"/>
          </w:rPr>
          <w:t xml:space="preserve">http://www.internationalwatersgovernance.com/the-rhine.html</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water resources management | UNEP - UN Environment Programme, accessed on October 11, 2025, </w:t>
      </w:r>
      <w:hyperlink r:id="rId27">
        <w:r w:rsidDel="00000000" w:rsidR="00000000" w:rsidRPr="00000000">
          <w:rPr>
            <w:rFonts w:ascii="Google Sans" w:cs="Google Sans" w:eastAsia="Google Sans" w:hAnsi="Google Sans"/>
            <w:color w:val="0000ee"/>
            <w:sz w:val="24"/>
            <w:szCs w:val="24"/>
            <w:u w:val="single"/>
            <w:rtl w:val="0"/>
          </w:rPr>
          <w:t xml:space="preserve">https://www.unep.org/topics/fresh-water/water-resources-management/integrated-water-resources-management</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Water Management Resource Center - American Rivers, accessed on October 11, 2025, </w:t>
      </w:r>
      <w:hyperlink r:id="rId28">
        <w:r w:rsidDel="00000000" w:rsidR="00000000" w:rsidRPr="00000000">
          <w:rPr>
            <w:rFonts w:ascii="Google Sans" w:cs="Google Sans" w:eastAsia="Google Sans" w:hAnsi="Google Sans"/>
            <w:color w:val="0000ee"/>
            <w:sz w:val="24"/>
            <w:szCs w:val="24"/>
            <w:u w:val="single"/>
            <w:rtl w:val="0"/>
          </w:rPr>
          <w:t xml:space="preserve">https://www.americanrivers.org/conservation-resources/integrated-water-management/</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Variances of Citizen Stakeholder Justice in Watershed Governance: Is Action More Effective with Reactive or Proactive Administrations - MDPI, accessed on October 11, 2025, </w:t>
      </w:r>
      <w:hyperlink r:id="rId29">
        <w:r w:rsidDel="00000000" w:rsidR="00000000" w:rsidRPr="00000000">
          <w:rPr>
            <w:rFonts w:ascii="Google Sans" w:cs="Google Sans" w:eastAsia="Google Sans" w:hAnsi="Google Sans"/>
            <w:color w:val="0000ee"/>
            <w:sz w:val="24"/>
            <w:szCs w:val="24"/>
            <w:u w:val="single"/>
            <w:rtl w:val="0"/>
          </w:rPr>
          <w:t xml:space="preserve">https://www.mdpi.com/2073-4441/14/6/878</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Watershed Data Trusts → Area - Prism → Sustainability Directory, accessed on October 11, 2025, </w:t>
      </w:r>
      <w:hyperlink r:id="rId30">
        <w:r w:rsidDel="00000000" w:rsidR="00000000" w:rsidRPr="00000000">
          <w:rPr>
            <w:rFonts w:ascii="Google Sans" w:cs="Google Sans" w:eastAsia="Google Sans" w:hAnsi="Google Sans"/>
            <w:color w:val="0000ee"/>
            <w:sz w:val="24"/>
            <w:szCs w:val="24"/>
            <w:u w:val="single"/>
            <w:rtl w:val="0"/>
          </w:rPr>
          <w:t xml:space="preserve">https://prism.sustainability-directory.com/area/watershed-data-trusts/</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right to water - Is water a human right or a commodity? - U-M Erb - Erb Institute, accessed on October 11, 2025, </w:t>
      </w:r>
      <w:hyperlink r:id="rId31">
        <w:r w:rsidDel="00000000" w:rsidR="00000000" w:rsidRPr="00000000">
          <w:rPr>
            <w:rFonts w:ascii="Google Sans" w:cs="Google Sans" w:eastAsia="Google Sans" w:hAnsi="Google Sans"/>
            <w:color w:val="0000ee"/>
            <w:sz w:val="24"/>
            <w:szCs w:val="24"/>
            <w:u w:val="single"/>
            <w:rtl w:val="0"/>
          </w:rPr>
          <w:t xml:space="preserve">https://erb.umich.edu/2018/05/30/a-right-to-water-is-water-a-human-right-or-a-commodity/</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Water Wars: Struggles for Remunicipalisation, accessed on October 11, 2025, </w:t>
      </w:r>
      <w:hyperlink r:id="rId32">
        <w:r w:rsidDel="00000000" w:rsidR="00000000" w:rsidRPr="00000000">
          <w:rPr>
            <w:rFonts w:ascii="Google Sans" w:cs="Google Sans" w:eastAsia="Google Sans" w:hAnsi="Google Sans"/>
            <w:color w:val="0000ee"/>
            <w:sz w:val="24"/>
            <w:szCs w:val="24"/>
            <w:u w:val="single"/>
            <w:rtl w:val="0"/>
          </w:rPr>
          <w:t xml:space="preserve">https://www.water-alternatives.org/index.php/alldoc/articles/vol12/v12issue3/528-a12-2-11/file</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Landscapes of Remunicipalization: A Critical Literature Review - ResearchGate, accessed on October 11,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https://www.researchgate.net/publication/378503809_Landscapes_of_Remunicipalization_A_Critical_Literature_Review</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Remunicipalisation - PSI - The global union federation of workers in public services, accessed on October 11, 2025, </w:t>
      </w:r>
      <w:hyperlink r:id="rId34">
        <w:r w:rsidDel="00000000" w:rsidR="00000000" w:rsidRPr="00000000">
          <w:rPr>
            <w:rFonts w:ascii="Google Sans" w:cs="Google Sans" w:eastAsia="Google Sans" w:hAnsi="Google Sans"/>
            <w:color w:val="0000ee"/>
            <w:sz w:val="24"/>
            <w:szCs w:val="24"/>
            <w:u w:val="single"/>
            <w:rtl w:val="0"/>
          </w:rPr>
          <w:t xml:space="preserve">https://publicservices.international/resources/page/remunicipalisation?id=13693&amp;lang=en</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Remunicipalization, corporatization, and outsourcing: the performance of public-sector firms after reorganization - Taylor &amp; Francis Online, accessed on October 11, 2025, </w:t>
      </w:r>
      <w:hyperlink r:id="rId35">
        <w:r w:rsidDel="00000000" w:rsidR="00000000" w:rsidRPr="00000000">
          <w:rPr>
            <w:rFonts w:ascii="Google Sans" w:cs="Google Sans" w:eastAsia="Google Sans" w:hAnsi="Google Sans"/>
            <w:color w:val="0000ee"/>
            <w:sz w:val="24"/>
            <w:szCs w:val="24"/>
            <w:u w:val="single"/>
            <w:rtl w:val="0"/>
          </w:rPr>
          <w:t xml:space="preserve">https://www.tandfonline.com/doi/full/10.1080/10967494.2022.2038317</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 DECOUPLING: MONTANA UTILITY PROS AND CONS, accessed on October 11, 2025, </w:t>
      </w:r>
      <w:hyperlink r:id="rId36">
        <w:r w:rsidDel="00000000" w:rsidR="00000000" w:rsidRPr="00000000">
          <w:rPr>
            <w:rFonts w:ascii="Google Sans" w:cs="Google Sans" w:eastAsia="Google Sans" w:hAnsi="Google Sans"/>
            <w:color w:val="0000ee"/>
            <w:sz w:val="24"/>
            <w:szCs w:val="24"/>
            <w:u w:val="single"/>
            <w:rtl w:val="0"/>
          </w:rPr>
          <w:t xml:space="preserve">https://archive.legmt.gov/content/Committees/Interim/2017-2018/Energy-and-Telecommunications/Meetings/Jan-2018/Exhibits/Decoupling/Jan18UtilityDecouplingPerspectives.pdf</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Distribution of U.S. Electric Utility Revenue Decoupling Rate Impacts from 2005 to 2017, accessed on October 11, 2025, </w:t>
      </w:r>
      <w:hyperlink r:id="rId37">
        <w:r w:rsidDel="00000000" w:rsidR="00000000" w:rsidRPr="00000000">
          <w:rPr>
            <w:rFonts w:ascii="Google Sans" w:cs="Google Sans" w:eastAsia="Google Sans" w:hAnsi="Google Sans"/>
            <w:color w:val="0000ee"/>
            <w:sz w:val="24"/>
            <w:szCs w:val="24"/>
            <w:u w:val="single"/>
            <w:rtl w:val="0"/>
          </w:rPr>
          <w:t xml:space="preserve">https://emp.lbl.gov/publications/distribution-us-electric-utility</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 Revenue Decoupling: Pros, Cons, &amp; Impact | Diversegy, accessed on October 11, 2025, </w:t>
      </w:r>
      <w:hyperlink r:id="rId38">
        <w:r w:rsidDel="00000000" w:rsidR="00000000" w:rsidRPr="00000000">
          <w:rPr>
            <w:rFonts w:ascii="Google Sans" w:cs="Google Sans" w:eastAsia="Google Sans" w:hAnsi="Google Sans"/>
            <w:color w:val="0000ee"/>
            <w:sz w:val="24"/>
            <w:szCs w:val="24"/>
            <w:u w:val="single"/>
            <w:rtl w:val="0"/>
          </w:rPr>
          <w:t xml:space="preserve">https://diversegy.com/utility-revenue-decoupling/</w:t>
        </w:r>
      </w:hyperlink>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German energy co-operatives | Raumforschung und Raumordnung | Spatial Research and Planning, accessed on October 11, 2025, </w:t>
      </w:r>
      <w:hyperlink r:id="rId39">
        <w:r w:rsidDel="00000000" w:rsidR="00000000" w:rsidRPr="00000000">
          <w:rPr>
            <w:rFonts w:ascii="Google Sans" w:cs="Google Sans" w:eastAsia="Google Sans" w:hAnsi="Google Sans"/>
            <w:color w:val="0000ee"/>
            <w:sz w:val="24"/>
            <w:szCs w:val="24"/>
            <w:u w:val="single"/>
            <w:rtl w:val="0"/>
          </w:rPr>
          <w:t xml:space="preserve">https://rur.oekom.de/index.php/rur/article/view/533</w:t>
        </w:r>
      </w:hyperlink>
      <w:r w:rsidDel="00000000" w:rsidR="00000000" w:rsidRPr="00000000">
        <w:rPr>
          <w:rtl w:val="0"/>
        </w:rPr>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Choice Aggregation | US EPA, accessed on October 11, 2025, </w:t>
      </w:r>
      <w:hyperlink r:id="rId40">
        <w:r w:rsidDel="00000000" w:rsidR="00000000" w:rsidRPr="00000000">
          <w:rPr>
            <w:rFonts w:ascii="Google Sans" w:cs="Google Sans" w:eastAsia="Google Sans" w:hAnsi="Google Sans"/>
            <w:color w:val="0000ee"/>
            <w:sz w:val="24"/>
            <w:szCs w:val="24"/>
            <w:u w:val="single"/>
            <w:rtl w:val="0"/>
          </w:rPr>
          <w:t xml:space="preserve">https://www.epa.gov/green-power-markets/community-choice-aggregation</w:t>
        </w:r>
      </w:hyperlink>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Community Choice Aggregation Law &amp; Regulation, accessed on October 11, 2025, </w:t>
      </w:r>
      <w:hyperlink r:id="rId41">
        <w:r w:rsidDel="00000000" w:rsidR="00000000" w:rsidRPr="00000000">
          <w:rPr>
            <w:rFonts w:ascii="Google Sans" w:cs="Google Sans" w:eastAsia="Google Sans" w:hAnsi="Google Sans"/>
            <w:color w:val="0000ee"/>
            <w:sz w:val="24"/>
            <w:szCs w:val="24"/>
            <w:u w:val="single"/>
            <w:rtl w:val="0"/>
          </w:rPr>
          <w:t xml:space="preserve">https://scholarship.law.tamu.edu/cgi/viewcontent.cgi?article=1175&amp;context=journal-of-property-law</w:t>
        </w:r>
      </w:hyperlink>
      <w:r w:rsidDel="00000000" w:rsidR="00000000" w:rsidRPr="00000000">
        <w:rPr>
          <w:rtl w:val="0"/>
        </w:rPr>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Microgrid Overview - Department of Energy, accessed on October 11, 2025, </w:t>
      </w:r>
      <w:hyperlink r:id="rId42">
        <w:r w:rsidDel="00000000" w:rsidR="00000000" w:rsidRPr="00000000">
          <w:rPr>
            <w:rFonts w:ascii="Google Sans" w:cs="Google Sans" w:eastAsia="Google Sans" w:hAnsi="Google Sans"/>
            <w:color w:val="0000ee"/>
            <w:sz w:val="24"/>
            <w:szCs w:val="24"/>
            <w:u w:val="single"/>
            <w:rtl w:val="0"/>
          </w:rPr>
          <w:t xml:space="preserve">https://www.energy.gov/sites/default/files/2024-01/2024-01-18%20Microgrid%20Overview%20Fact%20Sheet.pdf</w:t>
        </w:r>
      </w:hyperlink>
      <w:r w:rsidDel="00000000" w:rsidR="00000000" w:rsidRPr="00000000">
        <w:rPr>
          <w:rtl w:val="0"/>
        </w:rPr>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the power of community islanding and microgrids for ports - Ricardo, accessed on October 11, 2025, </w:t>
      </w:r>
      <w:hyperlink r:id="rId43">
        <w:r w:rsidDel="00000000" w:rsidR="00000000" w:rsidRPr="00000000">
          <w:rPr>
            <w:rFonts w:ascii="Google Sans" w:cs="Google Sans" w:eastAsia="Google Sans" w:hAnsi="Google Sans"/>
            <w:color w:val="0000ee"/>
            <w:sz w:val="24"/>
            <w:szCs w:val="24"/>
            <w:u w:val="single"/>
            <w:rtl w:val="0"/>
          </w:rPr>
          <w:t xml:space="preserve">https://www.ricardo.com/en/news-and-insights/industry-insights/harnessing-the-power-of-community-islanding-and-microgrids-for-ports</w:t>
        </w:r>
      </w:hyperlink>
      <w:r w:rsidDel="00000000" w:rsidR="00000000" w:rsidRPr="00000000">
        <w:rPr>
          <w:rtl w:val="0"/>
        </w:rPr>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Broadband as a Utility Is a Matter of Ethics, Not Economy - Ethical Tech, accessed on October 11, 2025, </w:t>
      </w:r>
      <w:hyperlink r:id="rId44">
        <w:r w:rsidDel="00000000" w:rsidR="00000000" w:rsidRPr="00000000">
          <w:rPr>
            <w:rFonts w:ascii="Google Sans" w:cs="Google Sans" w:eastAsia="Google Sans" w:hAnsi="Google Sans"/>
            <w:color w:val="0000ee"/>
            <w:sz w:val="24"/>
            <w:szCs w:val="24"/>
            <w:u w:val="single"/>
            <w:rtl w:val="0"/>
          </w:rPr>
          <w:t xml:space="preserve">https://ethicaltech.duke.edu/2021/03/22/broadband-as-a-utility-is-a-matter-of-ethics-not-economy/</w:t>
        </w:r>
      </w:hyperlink>
      <w:r w:rsidDel="00000000" w:rsidR="00000000" w:rsidRPr="00000000">
        <w:rPr>
          <w:rtl w:val="0"/>
        </w:rPr>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Broadband Be a Commodity? | American Enterprise Institute - AEI, accessed on October 11, 2025, </w:t>
      </w:r>
      <w:hyperlink r:id="rId45">
        <w:r w:rsidDel="00000000" w:rsidR="00000000" w:rsidRPr="00000000">
          <w:rPr>
            <w:rFonts w:ascii="Google Sans" w:cs="Google Sans" w:eastAsia="Google Sans" w:hAnsi="Google Sans"/>
            <w:color w:val="0000ee"/>
            <w:sz w:val="24"/>
            <w:szCs w:val="24"/>
            <w:u w:val="single"/>
            <w:rtl w:val="0"/>
          </w:rPr>
          <w:t xml:space="preserve">https://www.aei.org/technology-and-innovation/should-broadband-be-a-commodity/</w:t>
        </w:r>
      </w:hyperlink>
      <w:r w:rsidDel="00000000" w:rsidR="00000000" w:rsidRPr="00000000">
        <w:rPr>
          <w:rtl w:val="0"/>
        </w:rPr>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States Fund Municipal Broadband and Cooperatives? - Governing Magazine, accessed on October 11, 2025, </w:t>
      </w:r>
      <w:hyperlink r:id="rId46">
        <w:r w:rsidDel="00000000" w:rsidR="00000000" w:rsidRPr="00000000">
          <w:rPr>
            <w:rFonts w:ascii="Google Sans" w:cs="Google Sans" w:eastAsia="Google Sans" w:hAnsi="Google Sans"/>
            <w:color w:val="0000ee"/>
            <w:sz w:val="24"/>
            <w:szCs w:val="24"/>
            <w:u w:val="single"/>
            <w:rtl w:val="0"/>
          </w:rPr>
          <w:t xml:space="preserve">https://www.governing.com/now/should-states-fund-municipal-broadband-and-cooperatives</w:t>
        </w:r>
      </w:hyperlink>
      <w:r w:rsidDel="00000000" w:rsidR="00000000" w:rsidRPr="00000000">
        <w:rPr>
          <w:rtl w:val="0"/>
        </w:rPr>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EPB Chattanooga - Company History, accessed on October 11, 2025, </w:t>
      </w:r>
      <w:hyperlink r:id="rId47">
        <w:r w:rsidDel="00000000" w:rsidR="00000000" w:rsidRPr="00000000">
          <w:rPr>
            <w:rFonts w:ascii="Google Sans" w:cs="Google Sans" w:eastAsia="Google Sans" w:hAnsi="Google Sans"/>
            <w:color w:val="0000ee"/>
            <w:sz w:val="24"/>
            <w:szCs w:val="24"/>
            <w:u w:val="single"/>
            <w:rtl w:val="0"/>
          </w:rPr>
          <w:t xml:space="preserve">https://epb.com/about/history/</w:t>
        </w:r>
      </w:hyperlink>
      <w:r w:rsidDel="00000000" w:rsidR="00000000" w:rsidRPr="00000000">
        <w:rPr>
          <w:rtl w:val="0"/>
        </w:rPr>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Reclaiming data for improved city governance: Barcelona's New Data Deal Abstract Cities today are key sites for the operation - UCL Discovery, accessed on October 11, 2025, </w:t>
      </w:r>
      <w:hyperlink r:id="rId48">
        <w:r w:rsidDel="00000000" w:rsidR="00000000" w:rsidRPr="00000000">
          <w:rPr>
            <w:rFonts w:ascii="Google Sans" w:cs="Google Sans" w:eastAsia="Google Sans" w:hAnsi="Google Sans"/>
            <w:color w:val="0000ee"/>
            <w:sz w:val="24"/>
            <w:szCs w:val="24"/>
            <w:u w:val="single"/>
            <w:rtl w:val="0"/>
          </w:rPr>
          <w:t xml:space="preserve">https://discovery.ucl.ac.uk/id/eprint/10185111/2/Kattel_Reclaiming%20data%20for%20improved%20city%20governance_AAM.pdf</w:t>
        </w:r>
      </w:hyperlink>
      <w:r w:rsidDel="00000000" w:rsidR="00000000" w:rsidRPr="00000000">
        <w:rPr>
          <w:rtl w:val="0"/>
        </w:rPr>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we're exploring the definition of a data trust | The ODI, accessed on October 11, 2025, </w:t>
      </w:r>
      <w:hyperlink r:id="rId49">
        <w:r w:rsidDel="00000000" w:rsidR="00000000" w:rsidRPr="00000000">
          <w:rPr>
            <w:rFonts w:ascii="Google Sans" w:cs="Google Sans" w:eastAsia="Google Sans" w:hAnsi="Google Sans"/>
            <w:color w:val="0000ee"/>
            <w:sz w:val="24"/>
            <w:szCs w:val="24"/>
            <w:u w:val="single"/>
            <w:rtl w:val="0"/>
          </w:rPr>
          <w:t xml:space="preserve">https://theodi.org/news-and-events/blog/how-were-exploring-the-definition-of-a-data-trust/</w:t>
        </w:r>
      </w:hyperlink>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Platform cooperative - Wikipedia, accessed on October 11, 2025, </w:t>
      </w:r>
      <w:hyperlink r:id="rId50">
        <w:r w:rsidDel="00000000" w:rsidR="00000000" w:rsidRPr="00000000">
          <w:rPr>
            <w:rFonts w:ascii="Google Sans" w:cs="Google Sans" w:eastAsia="Google Sans" w:hAnsi="Google Sans"/>
            <w:color w:val="0000ee"/>
            <w:sz w:val="24"/>
            <w:szCs w:val="24"/>
            <w:u w:val="single"/>
            <w:rtl w:val="0"/>
          </w:rPr>
          <w:t xml:space="preserve">https://en.wikipedia.org/wiki/Platform_cooperative</w:t>
        </w:r>
      </w:hyperlink>
      <w:r w:rsidDel="00000000" w:rsidR="00000000" w:rsidRPr="00000000">
        <w:rPr>
          <w:rtl w:val="0"/>
        </w:rPr>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Infrastructure Investment and Jobs Act: Prevention and Elimination of Digital Discrimination - Federal Register, accessed on October 11, 2025, </w:t>
      </w:r>
      <w:hyperlink r:id="rId51">
        <w:r w:rsidDel="00000000" w:rsidR="00000000" w:rsidRPr="00000000">
          <w:rPr>
            <w:rFonts w:ascii="Google Sans" w:cs="Google Sans" w:eastAsia="Google Sans" w:hAnsi="Google Sans"/>
            <w:color w:val="0000ee"/>
            <w:sz w:val="24"/>
            <w:szCs w:val="24"/>
            <w:u w:val="single"/>
            <w:rtl w:val="0"/>
          </w:rPr>
          <w:t xml:space="preserve">https://www.federalregister.gov/documents/2024/01/22/2023-28835/the-infrastructure-investment-and-jobs-act-prevention-and-elimination-of-digital-discrimination</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SYSTEM INFRASTRUCTURE: - MSU College of Agriculture and Natural Resources, accessed on October 11, 2025, </w:t>
      </w:r>
      <w:hyperlink r:id="rId52">
        <w:r w:rsidDel="00000000" w:rsidR="00000000" w:rsidRPr="00000000">
          <w:rPr>
            <w:rFonts w:ascii="Google Sans" w:cs="Google Sans" w:eastAsia="Google Sans" w:hAnsi="Google Sans"/>
            <w:color w:val="0000ee"/>
            <w:sz w:val="24"/>
            <w:szCs w:val="24"/>
            <w:u w:val="single"/>
            <w:rtl w:val="0"/>
          </w:rPr>
          <w:t xml:space="preserve">https://www.canr.msu.edu/michiganfood/uploads/files/food_system_infrastructure_report.pdf</w:t>
        </w:r>
      </w:hyperlink>
      <w:r w:rsidDel="00000000" w:rsidR="00000000" w:rsidRPr="00000000">
        <w:rPr>
          <w:rtl w:val="0"/>
        </w:rPr>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Resilient Food Systems Infrastructure Program - Agricultural Marketing Service - USDA, accessed on October 11, 2025, </w:t>
      </w:r>
      <w:hyperlink r:id="rId53">
        <w:r w:rsidDel="00000000" w:rsidR="00000000" w:rsidRPr="00000000">
          <w:rPr>
            <w:rFonts w:ascii="Google Sans" w:cs="Google Sans" w:eastAsia="Google Sans" w:hAnsi="Google Sans"/>
            <w:color w:val="0000ee"/>
            <w:sz w:val="24"/>
            <w:szCs w:val="24"/>
            <w:u w:val="single"/>
            <w:rtl w:val="0"/>
          </w:rPr>
          <w:t xml:space="preserve">https://www.ams.usda.gov/services/grants/rfsi</w:t>
        </w:r>
      </w:hyperlink>
      <w:r w:rsidDel="00000000" w:rsidR="00000000" w:rsidRPr="00000000">
        <w:rPr>
          <w:rtl w:val="0"/>
        </w:rPr>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Hubs &amp; Values-Based Supply Chains | Sustainable Agriculture Research &amp; Education Program, accessed on October 11, 2025, </w:t>
      </w:r>
      <w:hyperlink r:id="rId54">
        <w:r w:rsidDel="00000000" w:rsidR="00000000" w:rsidRPr="00000000">
          <w:rPr>
            <w:rFonts w:ascii="Google Sans" w:cs="Google Sans" w:eastAsia="Google Sans" w:hAnsi="Google Sans"/>
            <w:color w:val="0000ee"/>
            <w:sz w:val="24"/>
            <w:szCs w:val="24"/>
            <w:u w:val="single"/>
            <w:rtl w:val="0"/>
          </w:rPr>
          <w:t xml:space="preserve">https://sarep.ucdavis.edu/research/foodsystems/foodhubs</w:t>
        </w:r>
      </w:hyperlink>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Hubs - Healthy Food Access Portal, accessed on October 11, 2025, </w:t>
      </w:r>
      <w:hyperlink r:id="rId55">
        <w:r w:rsidDel="00000000" w:rsidR="00000000" w:rsidRPr="00000000">
          <w:rPr>
            <w:rFonts w:ascii="Google Sans" w:cs="Google Sans" w:eastAsia="Google Sans" w:hAnsi="Google Sans"/>
            <w:color w:val="0000ee"/>
            <w:sz w:val="24"/>
            <w:szCs w:val="24"/>
            <w:u w:val="single"/>
            <w:rtl w:val="0"/>
          </w:rPr>
          <w:t xml:space="preserve">https://healthyfoodaccess.org/business-models/food-hubs/</w:t>
        </w:r>
      </w:hyperlink>
      <w:r w:rsidDel="00000000" w:rsidR="00000000" w:rsidRPr="00000000">
        <w:rPr>
          <w:rtl w:val="0"/>
        </w:rPr>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Agricultural and Commercial Community Land Trusts - Grounded Solutions Network, accessed on October 11, 2025, </w:t>
      </w:r>
      <w:hyperlink r:id="rId56">
        <w:r w:rsidDel="00000000" w:rsidR="00000000" w:rsidRPr="00000000">
          <w:rPr>
            <w:rFonts w:ascii="Google Sans" w:cs="Google Sans" w:eastAsia="Google Sans" w:hAnsi="Google Sans"/>
            <w:color w:val="0000ee"/>
            <w:sz w:val="24"/>
            <w:szCs w:val="24"/>
            <w:u w:val="single"/>
            <w:rtl w:val="0"/>
          </w:rPr>
          <w:t xml:space="preserve">https://groundedsolutions.org/resources/agricultural-and-commercial-community-land-trusts/</w:t>
        </w:r>
      </w:hyperlink>
      <w:r w:rsidDel="00000000" w:rsidR="00000000" w:rsidRPr="00000000">
        <w:rPr>
          <w:rtl w:val="0"/>
        </w:rPr>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Land Trusts: A Guide for Local Governments - National League of Cities, accessed on October 11, 2025, </w:t>
      </w:r>
      <w:hyperlink r:id="rId57">
        <w:r w:rsidDel="00000000" w:rsidR="00000000" w:rsidRPr="00000000">
          <w:rPr>
            <w:rFonts w:ascii="Google Sans" w:cs="Google Sans" w:eastAsia="Google Sans" w:hAnsi="Google Sans"/>
            <w:color w:val="0000ee"/>
            <w:sz w:val="24"/>
            <w:szCs w:val="24"/>
            <w:u w:val="single"/>
            <w:rtl w:val="0"/>
          </w:rPr>
          <w:t xml:space="preserve">https://www.nlc.org/wp-content/uploads/2021/08/Community-Land-Trusts_A-Guide-for-Local-Governments_Report-1.pdf</w:t>
        </w:r>
      </w:hyperlink>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BND Infrastructure Revolving Loan Fund - Bank of North Dakota, accessed on October 11, 2025, </w:t>
      </w:r>
      <w:hyperlink r:id="rId58">
        <w:r w:rsidDel="00000000" w:rsidR="00000000" w:rsidRPr="00000000">
          <w:rPr>
            <w:rFonts w:ascii="Google Sans" w:cs="Google Sans" w:eastAsia="Google Sans" w:hAnsi="Google Sans"/>
            <w:color w:val="0000ee"/>
            <w:sz w:val="24"/>
            <w:szCs w:val="24"/>
            <w:u w:val="single"/>
            <w:rtl w:val="0"/>
          </w:rPr>
          <w:t xml:space="preserve">https://bnd.nd.gov/loans/infrastructure/bnd-infrastructure-loan-fund/</w:t>
        </w:r>
      </w:hyperlink>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mechanisms for innovative social and solidarity economy ecosystems: The case of Quebec - ILO Research Repository, accessed on October 11, 2025, </w:t>
      </w:r>
      <w:hyperlink r:id="rId59">
        <w:r w:rsidDel="00000000" w:rsidR="00000000" w:rsidRPr="00000000">
          <w:rPr>
            <w:rFonts w:ascii="Google Sans" w:cs="Google Sans" w:eastAsia="Google Sans" w:hAnsi="Google Sans"/>
            <w:color w:val="0000ee"/>
            <w:sz w:val="24"/>
            <w:szCs w:val="24"/>
            <w:u w:val="single"/>
            <w:rtl w:val="0"/>
          </w:rPr>
          <w:t xml:space="preserve">https://researchrepository.ilo.org/esploro/fulltext/book/Financial-mechanisms-for-innovative-social-and/995218712602676?repId=12100566380002676&amp;mId=13100941230002676&amp;institution=41ILO_INST</w:t>
        </w:r>
      </w:hyperlink>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Evergreen Funds: A New Paradigm or a Complement to Drawdown Structures | ArchBridge Family Office, accessed on October 11, 2025, </w:t>
      </w:r>
      <w:hyperlink r:id="rId60">
        <w:r w:rsidDel="00000000" w:rsidR="00000000" w:rsidRPr="00000000">
          <w:rPr>
            <w:rFonts w:ascii="Google Sans" w:cs="Google Sans" w:eastAsia="Google Sans" w:hAnsi="Google Sans"/>
            <w:color w:val="0000ee"/>
            <w:sz w:val="24"/>
            <w:szCs w:val="24"/>
            <w:u w:val="single"/>
            <w:rtl w:val="0"/>
          </w:rPr>
          <w:t xml:space="preserve">https://archbridge.com/insights/evergreen-funds-a-new-paradigm-or-a-complement-to-drawdown-structures/?pdf=10172</w:t>
        </w:r>
      </w:hyperlink>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Solidarity Finance: An Evolving Landscape, accessed on October 11, 2025, </w:t>
      </w:r>
      <w:hyperlink r:id="rId61">
        <w:r w:rsidDel="00000000" w:rsidR="00000000" w:rsidRPr="00000000">
          <w:rPr>
            <w:rFonts w:ascii="Google Sans" w:cs="Google Sans" w:eastAsia="Google Sans" w:hAnsi="Google Sans"/>
            <w:color w:val="0000ee"/>
            <w:sz w:val="24"/>
            <w:szCs w:val="24"/>
            <w:u w:val="single"/>
            <w:rtl w:val="0"/>
          </w:rPr>
          <w:t xml:space="preserve">https://www.sscc.wisc.edu/soc/faculty/pages/wright/929-utopias-2013/Real%20Utopia%20Readings/Solidarity%20finance.pdf</w:t>
        </w:r>
      </w:hyperlink>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D.3.5.1 Baseline on financing models and instruments, potentials, and policy frameworks in partner countries, accessed on October 11, 2025, </w:t>
      </w:r>
      <w:hyperlink r:id="rId62">
        <w:r w:rsidDel="00000000" w:rsidR="00000000" w:rsidRPr="00000000">
          <w:rPr>
            <w:rFonts w:ascii="Google Sans" w:cs="Google Sans" w:eastAsia="Google Sans" w:hAnsi="Google Sans"/>
            <w:color w:val="0000ee"/>
            <w:sz w:val="24"/>
            <w:szCs w:val="24"/>
            <w:u w:val="single"/>
            <w:rtl w:val="0"/>
          </w:rPr>
          <w:t xml:space="preserve">https://www.interreg-central.eu/wp-content/uploads/2024/05/D.3.1.1.-Baseline-on-financing-models-and-instruments-Germany.pdf</w:t>
        </w:r>
      </w:hyperlink>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Infrastructure Loans - Bank of North Dakota, accessed on October 11, 2025, </w:t>
      </w:r>
      <w:hyperlink r:id="rId63">
        <w:r w:rsidDel="00000000" w:rsidR="00000000" w:rsidRPr="00000000">
          <w:rPr>
            <w:rFonts w:ascii="Google Sans" w:cs="Google Sans" w:eastAsia="Google Sans" w:hAnsi="Google Sans"/>
            <w:color w:val="0000ee"/>
            <w:sz w:val="24"/>
            <w:szCs w:val="24"/>
            <w:u w:val="single"/>
            <w:rtl w:val="0"/>
          </w:rPr>
          <w:t xml:space="preserve">https://bnd.nd.gov/loans/infrastructure/</w:t>
        </w:r>
      </w:hyperlink>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Impact Bonds as a Funding Method for Health and Social Programs: Potential Areas of Concern - PMC, accessed on October 11, 2025, </w:t>
      </w:r>
      <w:hyperlink r:id="rId64">
        <w:r w:rsidDel="00000000" w:rsidR="00000000" w:rsidRPr="00000000">
          <w:rPr>
            <w:rFonts w:ascii="Google Sans" w:cs="Google Sans" w:eastAsia="Google Sans" w:hAnsi="Google Sans"/>
            <w:color w:val="0000ee"/>
            <w:sz w:val="24"/>
            <w:szCs w:val="24"/>
            <w:u w:val="single"/>
            <w:rtl w:val="0"/>
          </w:rPr>
          <w:t xml:space="preserve">https://pmc.ncbi.nlm.nih.gov/articles/PMC5846579/</w:t>
        </w:r>
      </w:hyperlink>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Bonds as a Pooled Financing Mechanism to Address Social Drivers of Health Equity - OpenScholar, accessed on October 11, 2025, </w:t>
      </w:r>
      <w:hyperlink r:id="rId65">
        <w:r w:rsidDel="00000000" w:rsidR="00000000" w:rsidRPr="00000000">
          <w:rPr>
            <w:rFonts w:ascii="Google Sans" w:cs="Google Sans" w:eastAsia="Google Sans" w:hAnsi="Google Sans"/>
            <w:color w:val="0000ee"/>
            <w:sz w:val="24"/>
            <w:szCs w:val="24"/>
            <w:u w:val="single"/>
            <w:rtl w:val="0"/>
          </w:rPr>
          <w:t xml:space="preserve">https://csph.d8.theopenscholar.com/files/systemsforaction/files/ResProgress_SocialBond_3.2.22.pdf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pa.gov/green-power-markets/community-choice-aggregation" TargetMode="External"/><Relationship Id="rId42" Type="http://schemas.openxmlformats.org/officeDocument/2006/relationships/hyperlink" Target="https://www.energy.gov/sites/default/files/2024-01/2024-01-18%20Microgrid%20Overview%20Fact%20Sheet.pdf" TargetMode="External"/><Relationship Id="rId41" Type="http://schemas.openxmlformats.org/officeDocument/2006/relationships/hyperlink" Target="https://scholarship.law.tamu.edu/cgi/viewcontent.cgi?article=1175&amp;context=journal-of-property-law" TargetMode="External"/><Relationship Id="rId44" Type="http://schemas.openxmlformats.org/officeDocument/2006/relationships/hyperlink" Target="https://ethicaltech.duke.edu/2021/03/22/broadband-as-a-utility-is-a-matter-of-ethics-not-economy/" TargetMode="External"/><Relationship Id="rId43" Type="http://schemas.openxmlformats.org/officeDocument/2006/relationships/hyperlink" Target="https://www.ricardo.com/en/news-and-insights/industry-insights/harnessing-the-power-of-community-islanding-and-microgrids-for-ports" TargetMode="External"/><Relationship Id="rId46" Type="http://schemas.openxmlformats.org/officeDocument/2006/relationships/hyperlink" Target="https://www.governing.com/now/should-states-fund-municipal-broadband-and-cooperatives" TargetMode="External"/><Relationship Id="rId45" Type="http://schemas.openxmlformats.org/officeDocument/2006/relationships/hyperlink" Target="https://www.aei.org/technology-and-innovation/should-broadband-be-a-commod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ooseveltinstitute.org/blog/the-harms-of-infrastructure-privatization-a-step-backward-in-progressive-policymaking/" TargetMode="External"/><Relationship Id="rId48" Type="http://schemas.openxmlformats.org/officeDocument/2006/relationships/hyperlink" Target="https://discovery.ucl.ac.uk/id/eprint/10185111/2/Kattel_Reclaiming%20data%20for%20improved%20city%20governance_AAM.pdf" TargetMode="External"/><Relationship Id="rId47" Type="http://schemas.openxmlformats.org/officeDocument/2006/relationships/hyperlink" Target="https://epb.com/about/history/" TargetMode="External"/><Relationship Id="rId49" Type="http://schemas.openxmlformats.org/officeDocument/2006/relationships/hyperlink" Target="https://theodi.org/news-and-events/blog/how-were-exploring-the-definition-of-a-data-trust/" TargetMode="External"/><Relationship Id="rId5" Type="http://schemas.openxmlformats.org/officeDocument/2006/relationships/styles" Target="styles.xml"/><Relationship Id="rId6" Type="http://schemas.openxmlformats.org/officeDocument/2006/relationships/hyperlink" Target="https://www.researchgate.net/publication/42762441_The_Governance_of_Infrastructures_as_Common_Pool_Resources" TargetMode="External"/><Relationship Id="rId7" Type="http://schemas.openxmlformats.org/officeDocument/2006/relationships/hyperlink" Target="https://www.nobelprize.org/uploads/2018/06/ostrom_lecture.pdf" TargetMode="External"/><Relationship Id="rId8" Type="http://schemas.openxmlformats.org/officeDocument/2006/relationships/hyperlink" Target="https://www.hka.com/article/comparing-public-private-partnerships-in-construction-a-damages-perspective/" TargetMode="External"/><Relationship Id="rId31" Type="http://schemas.openxmlformats.org/officeDocument/2006/relationships/hyperlink" Target="https://erb.umich.edu/2018/05/30/a-right-to-water-is-water-a-human-right-or-a-commodity/" TargetMode="External"/><Relationship Id="rId30" Type="http://schemas.openxmlformats.org/officeDocument/2006/relationships/hyperlink" Target="https://prism.sustainability-directory.com/area/watershed-data-trusts/" TargetMode="External"/><Relationship Id="rId33" Type="http://schemas.openxmlformats.org/officeDocument/2006/relationships/hyperlink" Target="https://www.researchgate.net/publication/378503809_Landscapes_of_Remunicipalization_A_Critical_Literature_Review" TargetMode="External"/><Relationship Id="rId32" Type="http://schemas.openxmlformats.org/officeDocument/2006/relationships/hyperlink" Target="https://www.water-alternatives.org/index.php/alldoc/articles/vol12/v12issue3/528-a12-2-11/file" TargetMode="External"/><Relationship Id="rId35" Type="http://schemas.openxmlformats.org/officeDocument/2006/relationships/hyperlink" Target="https://www.tandfonline.com/doi/full/10.1080/10967494.2022.2038317" TargetMode="External"/><Relationship Id="rId34" Type="http://schemas.openxmlformats.org/officeDocument/2006/relationships/hyperlink" Target="https://publicservices.international/resources/page/remunicipalisation?id=13693&amp;lang=en" TargetMode="External"/><Relationship Id="rId37" Type="http://schemas.openxmlformats.org/officeDocument/2006/relationships/hyperlink" Target="https://emp.lbl.gov/publications/distribution-us-electric-utility" TargetMode="External"/><Relationship Id="rId36" Type="http://schemas.openxmlformats.org/officeDocument/2006/relationships/hyperlink" Target="https://archive.legmt.gov/content/Committees/Interim/2017-2018/Energy-and-Telecommunications/Meetings/Jan-2018/Exhibits/Decoupling/Jan18UtilityDecouplingPerspectives.pdf" TargetMode="External"/><Relationship Id="rId39" Type="http://schemas.openxmlformats.org/officeDocument/2006/relationships/hyperlink" Target="https://rur.oekom.de/index.php/rur/article/view/533" TargetMode="External"/><Relationship Id="rId38" Type="http://schemas.openxmlformats.org/officeDocument/2006/relationships/hyperlink" Target="https://diversegy.com/utility-revenue-decoupling/" TargetMode="External"/><Relationship Id="rId62" Type="http://schemas.openxmlformats.org/officeDocument/2006/relationships/hyperlink" Target="https://www.interreg-central.eu/wp-content/uploads/2024/05/D.3.1.1.-Baseline-on-financing-models-and-instruments-Germany.pdf" TargetMode="External"/><Relationship Id="rId61" Type="http://schemas.openxmlformats.org/officeDocument/2006/relationships/hyperlink" Target="https://www.sscc.wisc.edu/soc/faculty/pages/wright/929-utopias-2013/Real%20Utopia%20Readings/Solidarity%20finance.pdf" TargetMode="External"/><Relationship Id="rId20" Type="http://schemas.openxmlformats.org/officeDocument/2006/relationships/hyperlink" Target="https://journals.plos.org/water/article/file?id=10.1371/journal.pwat.0000144&amp;type=printable" TargetMode="External"/><Relationship Id="rId64" Type="http://schemas.openxmlformats.org/officeDocument/2006/relationships/hyperlink" Target="https://pmc.ncbi.nlm.nih.gov/articles/PMC5846579/" TargetMode="External"/><Relationship Id="rId63" Type="http://schemas.openxmlformats.org/officeDocument/2006/relationships/hyperlink" Target="https://bnd.nd.gov/loans/infrastructure/" TargetMode="External"/><Relationship Id="rId22" Type="http://schemas.openxmlformats.org/officeDocument/2006/relationships/hyperlink" Target="https://www.mass.gov/doc/best-practices-of-inter-municipal-agreements-mcwt/download" TargetMode="External"/><Relationship Id="rId21" Type="http://schemas.openxmlformats.org/officeDocument/2006/relationships/hyperlink" Target="https://cascadiabioregion.org/bioregionalism-core-principles" TargetMode="External"/><Relationship Id="rId65" Type="http://schemas.openxmlformats.org/officeDocument/2006/relationships/hyperlink" Target="https://csph.d8.theopenscholar.com/files/systemsforaction/files/ResProgress_SocialBond_3.2.22.pdf" TargetMode="External"/><Relationship Id="rId24" Type="http://schemas.openxmlformats.org/officeDocument/2006/relationships/hyperlink" Target="https://resilientwatershedstoolbox.org/special-topics/governance" TargetMode="External"/><Relationship Id="rId23" Type="http://schemas.openxmlformats.org/officeDocument/2006/relationships/hyperlink" Target="https://dos.ny.gov/intermunicipal-cooperation-and-consolidation-exploring-opportunities-savings-and-improved-service" TargetMode="External"/><Relationship Id="rId60" Type="http://schemas.openxmlformats.org/officeDocument/2006/relationships/hyperlink" Target="https://archbridge.com/insights/evergreen-funds-a-new-paradigm-or-a-complement-to-drawdown-structures/?pdf=10172" TargetMode="External"/><Relationship Id="rId26" Type="http://schemas.openxmlformats.org/officeDocument/2006/relationships/hyperlink" Target="http://www.internationalwatersgovernance.com/the-rhine.html" TargetMode="External"/><Relationship Id="rId25" Type="http://schemas.openxmlformats.org/officeDocument/2006/relationships/hyperlink" Target="https://climatejusticealliance.org/food-sovereignty-and-land-sovereignty/" TargetMode="External"/><Relationship Id="rId28" Type="http://schemas.openxmlformats.org/officeDocument/2006/relationships/hyperlink" Target="https://www.americanrivers.org/conservation-resources/integrated-water-management/" TargetMode="External"/><Relationship Id="rId27" Type="http://schemas.openxmlformats.org/officeDocument/2006/relationships/hyperlink" Target="https://www.unep.org/topics/fresh-water/water-resources-management/integrated-water-resources-management" TargetMode="External"/><Relationship Id="rId29" Type="http://schemas.openxmlformats.org/officeDocument/2006/relationships/hyperlink" Target="https://www.mdpi.com/2073-4441/14/6/878" TargetMode="External"/><Relationship Id="rId51" Type="http://schemas.openxmlformats.org/officeDocument/2006/relationships/hyperlink" Target="https://www.federalregister.gov/documents/2024/01/22/2023-28835/the-infrastructure-investment-and-jobs-act-prevention-and-elimination-of-digital-discrimination" TargetMode="External"/><Relationship Id="rId50" Type="http://schemas.openxmlformats.org/officeDocument/2006/relationships/hyperlink" Target="https://en.wikipedia.org/wiki/Platform_cooperative" TargetMode="External"/><Relationship Id="rId53" Type="http://schemas.openxmlformats.org/officeDocument/2006/relationships/hyperlink" Target="https://www.ams.usda.gov/services/grants/rfsi" TargetMode="External"/><Relationship Id="rId52" Type="http://schemas.openxmlformats.org/officeDocument/2006/relationships/hyperlink" Target="https://www.canr.msu.edu/michiganfood/uploads/files/food_system_infrastructure_report.pdf" TargetMode="External"/><Relationship Id="rId11" Type="http://schemas.openxmlformats.org/officeDocument/2006/relationships/hyperlink" Target="https://en.wikipedia.org/wiki/Common-pool_resource" TargetMode="External"/><Relationship Id="rId55" Type="http://schemas.openxmlformats.org/officeDocument/2006/relationships/hyperlink" Target="https://healthyfoodaccess.org/business-models/food-hubs/" TargetMode="External"/><Relationship Id="rId10" Type="http://schemas.openxmlformats.org/officeDocument/2006/relationships/hyperlink" Target="https://energy-democracy.net/principals/index.html" TargetMode="External"/><Relationship Id="rId54" Type="http://schemas.openxmlformats.org/officeDocument/2006/relationships/hyperlink" Target="https://sarep.ucdavis.edu/research/foodsystems/foodhubs" TargetMode="External"/><Relationship Id="rId13" Type="http://schemas.openxmlformats.org/officeDocument/2006/relationships/hyperlink" Target="https://mcginnis.pages.iu.edu/Stephan%20Marshall%20McGinnis%20Intro%20to%20Polyc%20Gov.pdf" TargetMode="External"/><Relationship Id="rId57" Type="http://schemas.openxmlformats.org/officeDocument/2006/relationships/hyperlink" Target="https://www.nlc.org/wp-content/uploads/2021/08/Community-Land-Trusts_A-Guide-for-Local-Governments_Report-1.pdf" TargetMode="External"/><Relationship Id="rId12" Type="http://schemas.openxmlformats.org/officeDocument/2006/relationships/hyperlink" Target="https://ecologyandsociety.org/vol30/iss3/art3/" TargetMode="External"/><Relationship Id="rId56" Type="http://schemas.openxmlformats.org/officeDocument/2006/relationships/hyperlink" Target="https://groundedsolutions.org/resources/agricultural-and-commercial-community-land-trusts/" TargetMode="External"/><Relationship Id="rId15" Type="http://schemas.openxmlformats.org/officeDocument/2006/relationships/hyperlink" Target="https://water.ca.gov/-/media/DWR-Website/Web-Pages/Programs/California-Water-Plan/Docs/Update2023/PRD/RMS/Draft-Watershed-Management-RMS.pdf" TargetMode="External"/><Relationship Id="rId59" Type="http://schemas.openxmlformats.org/officeDocument/2006/relationships/hyperlink" Target="https://researchrepository.ilo.org/esploro/fulltext/book/Financial-mechanisms-for-innovative-social-and/995218712602676?repId=12100566380002676&amp;mId=13100941230002676&amp;institution=41ILO_INST" TargetMode="External"/><Relationship Id="rId14" Type="http://schemas.openxmlformats.org/officeDocument/2006/relationships/hyperlink" Target="https://prism.sustainability-directory.com/area/decentralized-bioregional-councils/" TargetMode="External"/><Relationship Id="rId58" Type="http://schemas.openxmlformats.org/officeDocument/2006/relationships/hyperlink" Target="https://bnd.nd.gov/loans/infrastructure/bnd-infrastructure-loan-fund/" TargetMode="External"/><Relationship Id="rId17" Type="http://schemas.openxmlformats.org/officeDocument/2006/relationships/hyperlink" Target="https://earth.org/bioregionalism/" TargetMode="External"/><Relationship Id="rId16" Type="http://schemas.openxmlformats.org/officeDocument/2006/relationships/hyperlink" Target="https://cascadiabioregion.org/groups" TargetMode="External"/><Relationship Id="rId19" Type="http://schemas.openxmlformats.org/officeDocument/2006/relationships/hyperlink" Target="https://journals.plos.org/water/article/file?id=10.1371/journal.pwat.0000144&amp;type=printable#:~:text=Indigenous%20Peoples%20continue%20to%20assert,traditional%20territories%20(art%2026)." TargetMode="External"/><Relationship Id="rId18" Type="http://schemas.openxmlformats.org/officeDocument/2006/relationships/hyperlink" Target="https://grodeska.com/ideas/bioregionalism-coming-home-to-place-connection-and-mutual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